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2E81" w:rsidRDefault="00AE50A5">
      <w:pPr>
        <w:pStyle w:val="ConsPlusNormal"/>
        <w:ind w:left="5529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742E81" w:rsidRDefault="00742E81" w:rsidP="00777562">
      <w:pPr>
        <w:pStyle w:val="ConsPlusNormal"/>
        <w:ind w:left="5529"/>
        <w:jc w:val="both"/>
        <w:rPr>
          <w:rFonts w:ascii="Times New Roman" w:hAnsi="Times New Roman" w:cs="Times New Roman"/>
          <w:sz w:val="28"/>
          <w:szCs w:val="28"/>
        </w:rPr>
      </w:pPr>
    </w:p>
    <w:p w:rsidR="00742E81" w:rsidRDefault="00AE50A5">
      <w:pPr>
        <w:pStyle w:val="ConsPlusNormal"/>
        <w:ind w:left="55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742E81" w:rsidRDefault="00742E81">
      <w:pPr>
        <w:pStyle w:val="ConsPlusNormal"/>
        <w:ind w:left="5529"/>
        <w:jc w:val="both"/>
        <w:rPr>
          <w:rFonts w:ascii="Times New Roman" w:hAnsi="Times New Roman" w:cs="Times New Roman"/>
          <w:sz w:val="28"/>
          <w:szCs w:val="28"/>
        </w:rPr>
      </w:pPr>
    </w:p>
    <w:p w:rsidR="00742E81" w:rsidRDefault="00AE50A5">
      <w:pPr>
        <w:pStyle w:val="ConsPlusNormal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Правительства Кировской области</w:t>
      </w:r>
    </w:p>
    <w:p w:rsidR="00742E81" w:rsidRDefault="00AE50A5">
      <w:pPr>
        <w:pStyle w:val="ConsPlusNormal"/>
        <w:spacing w:after="720"/>
        <w:ind w:left="55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77562">
        <w:rPr>
          <w:rFonts w:ascii="Times New Roman" w:hAnsi="Times New Roman" w:cs="Times New Roman"/>
          <w:sz w:val="28"/>
          <w:szCs w:val="28"/>
        </w:rPr>
        <w:t>23.06.2026</w:t>
      </w:r>
      <w:r>
        <w:rPr>
          <w:rFonts w:ascii="Times New Roman" w:hAnsi="Times New Roman" w:cs="Times New Roman"/>
          <w:sz w:val="28"/>
          <w:szCs w:val="28"/>
        </w:rPr>
        <w:t xml:space="preserve">    № </w:t>
      </w:r>
      <w:r w:rsidR="00777562">
        <w:rPr>
          <w:rFonts w:ascii="Times New Roman" w:hAnsi="Times New Roman" w:cs="Times New Roman"/>
          <w:sz w:val="28"/>
          <w:szCs w:val="28"/>
        </w:rPr>
        <w:t>304-П</w:t>
      </w:r>
    </w:p>
    <w:p w:rsidR="00742E81" w:rsidRDefault="00AE50A5">
      <w:pPr>
        <w:widowControl w:val="0"/>
        <w:spacing w:after="480" w:line="240" w:lineRule="auto"/>
        <w:jc w:val="center"/>
        <w:rPr>
          <w:rStyle w:val="af0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bookmarkStart w:id="0" w:name="P64"/>
      <w:bookmarkEnd w:id="0"/>
      <w:r>
        <w:rPr>
          <w:rStyle w:val="af0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Методика распределения и правила предоставления иных межбюджетных трансфертов из областного бюджета местным бюджетам, направленных на активизацию работы органов местного самоуправления муниципальных образований Кировской области</w:t>
      </w:r>
      <w:r>
        <w:rPr>
          <w:rStyle w:val="af0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br/>
        <w:t xml:space="preserve">по </w:t>
      </w:r>
      <w:proofErr w:type="gramStart"/>
      <w:r>
        <w:rPr>
          <w:rStyle w:val="af0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снижению  уровня</w:t>
      </w:r>
      <w:proofErr w:type="gramEnd"/>
      <w:r>
        <w:rPr>
          <w:rStyle w:val="af0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нелегальной занятости</w:t>
      </w:r>
    </w:p>
    <w:p w:rsidR="00742E81" w:rsidRDefault="00AE50A5">
      <w:pPr>
        <w:widowControl w:val="0"/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Style w:val="af0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 xml:space="preserve">Методика распределения и правила предоставления иных межбюджетных трансфертов из областного бюджета местным бюджетам, направленных на активизацию работы органов местного самоуправления муниципальных образований Кировской области по снижению уровня нелегальной занятости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(далее – методика и правила), </w:t>
      </w:r>
      <w:r>
        <w:rPr>
          <w:rFonts w:ascii="Times New Roman" w:hAnsi="Times New Roman" w:cs="Times New Roman"/>
          <w:sz w:val="28"/>
          <w:szCs w:val="28"/>
        </w:rPr>
        <w:t xml:space="preserve">разработаны в целях поощрения органов местного самоуправления муниципальных образований Кировской области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обеспечение снижения уровня нелегальной занятости и рост поступлений </w:t>
      </w:r>
      <w:r>
        <w:rPr>
          <w:rFonts w:ascii="Times New Roman" w:hAnsi="Times New Roman" w:cs="Times New Roman"/>
          <w:sz w:val="28"/>
          <w:szCs w:val="28"/>
        </w:rPr>
        <w:t>по налогу на доходы физических лиц в консолидированный бюджет Кировской области и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пределяют механизм распределения и предоставления иных межбюджетных трансфертов</w:t>
      </w:r>
      <w:r>
        <w:rPr>
          <w:rStyle w:val="af0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 xml:space="preserve"> из областного бюджета местным бюджетам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Style w:val="af0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>направленных на активизацию работы органов местного самоуправления муниципальных образований Кировской области по снижению уровня нелегальной занятости (далее –  иные межбюджетные трансферты).</w:t>
      </w:r>
    </w:p>
    <w:p w:rsidR="00742E81" w:rsidRDefault="00AE50A5">
      <w:pPr>
        <w:widowControl w:val="0"/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Иные межбюджетные трансферты</w:t>
      </w:r>
      <w:r>
        <w:rPr>
          <w:rStyle w:val="af0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предоставляются управлением труда и занятости Кировской области (далее – управление) бюджетам муниципальных округов и городских округов Кировской области (далее – муниципальные образования)</w:t>
      </w:r>
      <w:r>
        <w:rPr>
          <w:rFonts w:ascii="Times New Roman" w:hAnsi="Times New Roman" w:cs="Times New Roman"/>
          <w:sz w:val="28"/>
          <w:szCs w:val="28"/>
        </w:rPr>
        <w:t>, соответствующих следующим критериям:</w:t>
      </w:r>
    </w:p>
    <w:p w:rsidR="00742E81" w:rsidRDefault="00AE50A5">
      <w:pPr>
        <w:pStyle w:val="ConsPlusNormal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муниципальным образованием целевого показателя «Численность граждан, трудовая деятельность которых легализована» (далее – целевой показатель) в отчетном финансовом году, значение которого определяется в соответствии с Правилами определения значения целевого показателя «Численность граждан, трудовая деятельность которых </w:t>
      </w:r>
      <w:r>
        <w:rPr>
          <w:rFonts w:ascii="Times New Roman" w:hAnsi="Times New Roman" w:cs="Times New Roman"/>
          <w:sz w:val="28"/>
          <w:szCs w:val="28"/>
        </w:rPr>
        <w:lastRenderedPageBreak/>
        <w:t>легализована», утвержденными правовым актом управления;</w:t>
      </w:r>
    </w:p>
    <w:p w:rsidR="00742E81" w:rsidRDefault="00AE50A5">
      <w:pPr>
        <w:pStyle w:val="ConsPlusNormal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первоначально прогнозируемого объема поступлений по налогу на доходы физических лиц с доходов, источниками которых является налоговый агент, в бюджет муниципального образования в отчетном финансовом году;</w:t>
      </w:r>
    </w:p>
    <w:p w:rsidR="00742E81" w:rsidRDefault="00AE50A5">
      <w:pPr>
        <w:pStyle w:val="ConsPlusNormal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рост поступлений по налогу на доходы физических лиц с доходов, источниками которых является налоговый агент, в бюджет муниципального образования в отчетном финансовом году по сравнению с годом, предшествующим отчетному финансовому году, выше роста поступлений по налогу на доходы физических лиц с доходов, источниками которых является налоговый агент, сложившегося в среднем по бюджетам муниципальных образований; </w:t>
      </w:r>
    </w:p>
    <w:p w:rsidR="00742E81" w:rsidRDefault="00AE50A5">
      <w:pPr>
        <w:pStyle w:val="ConsPlusNormal"/>
        <w:spacing w:line="400" w:lineRule="exact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рост поступлений по налогу на доходы физических лиц в бюджет муниципального образования в отчетном финансовом году по сравнению с годом, предшествующим отчетному финансовому году, выше роста поступлений по налогу на доходы физических лиц, сложившегося в среднем по бюджетам муниципальных образований, у работодателей – организаций (индивидуальных предпринимателей), заслушанных в отчетном финансовом году на заседаниях рабочих групп межведомственной комиссии </w:t>
      </w:r>
      <w:r>
        <w:rPr>
          <w:rFonts w:ascii="Times New Roman" w:hAnsi="Times New Roman" w:cs="Times New Roman"/>
          <w:sz w:val="28"/>
        </w:rPr>
        <w:t xml:space="preserve">по </w:t>
      </w:r>
      <w:r>
        <w:rPr>
          <w:rFonts w:ascii="Times New Roman" w:hAnsi="Times New Roman" w:cs="Times New Roman"/>
          <w:spacing w:val="-2"/>
          <w:sz w:val="28"/>
        </w:rPr>
        <w:t>противодействию нелегальной занятости и противодействию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формированию просроченной задолженности по заработной плате (далее – рабочие группы)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Положением о порядке создания и деятельности рабочих групп межведомственной комиссии </w:t>
      </w:r>
      <w:r>
        <w:rPr>
          <w:rFonts w:ascii="Times New Roman" w:hAnsi="Times New Roman" w:cs="Times New Roman"/>
          <w:sz w:val="28"/>
        </w:rPr>
        <w:t xml:space="preserve">по </w:t>
      </w:r>
      <w:r>
        <w:rPr>
          <w:rFonts w:ascii="Times New Roman" w:hAnsi="Times New Roman" w:cs="Times New Roman"/>
          <w:spacing w:val="-2"/>
          <w:sz w:val="28"/>
        </w:rPr>
        <w:t>противодействию нелегальной занятости и противодействию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формированию просроченной задолженности по заработной плате, утвержденным постановлением Правительства Кировской области от 02.08.2024 № 334-П «О </w:t>
      </w:r>
      <w:r>
        <w:rPr>
          <w:rFonts w:ascii="Times New Roman" w:hAnsi="Times New Roman" w:cs="Times New Roman"/>
          <w:sz w:val="28"/>
          <w:szCs w:val="28"/>
        </w:rPr>
        <w:t xml:space="preserve">межведомственной комиссии </w:t>
      </w:r>
      <w:r>
        <w:rPr>
          <w:rFonts w:ascii="Times New Roman" w:hAnsi="Times New Roman" w:cs="Times New Roman"/>
          <w:sz w:val="28"/>
        </w:rPr>
        <w:t xml:space="preserve">по </w:t>
      </w:r>
      <w:r>
        <w:rPr>
          <w:rFonts w:ascii="Times New Roman" w:hAnsi="Times New Roman" w:cs="Times New Roman"/>
          <w:spacing w:val="-2"/>
          <w:sz w:val="28"/>
        </w:rPr>
        <w:t>противодействию нелегальной занятости и противодействию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формированию просроченной задолженности по заработной плате». </w:t>
      </w:r>
    </w:p>
    <w:p w:rsidR="00742E81" w:rsidRDefault="00AE50A5">
      <w:pPr>
        <w:pStyle w:val="ConsPlusNormal"/>
        <w:spacing w:line="400" w:lineRule="exact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3. Для оценки выполнения муниципальными округами Кировской области, образованными в соответствии с частью 1 статьи 19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закона Кировской области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от 25.11.2025 № 437-ЗО «О местном самоуправлении </w:t>
      </w:r>
      <w:r w:rsidR="00374BCB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Кировской области», критериев предоставления иных межбюджетных трансфертов, указанных в пункте 2 настоящих методики и правил, за 2026 год учитываются показатели поступлений по налогу на доходы физических лиц в консолидированный бюджет муниципального района Кировской области.</w:t>
      </w:r>
    </w:p>
    <w:p w:rsidR="00742E81" w:rsidRDefault="00AE50A5">
      <w:pPr>
        <w:pStyle w:val="ConsPlusNormal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Иные межбюджетные трансферты предоставляются бюджету муниципального образования при условии заключения </w:t>
      </w:r>
      <w:r>
        <w:rPr>
          <w:rFonts w:ascii="Times New Roman" w:hAnsi="Times New Roman" w:cs="Times New Roman"/>
          <w:sz w:val="28"/>
        </w:rPr>
        <w:t xml:space="preserve">между управлением и муниципальным образованием </w:t>
      </w:r>
      <w:r>
        <w:rPr>
          <w:rFonts w:ascii="Times New Roman" w:hAnsi="Times New Roman" w:cs="Times New Roman"/>
          <w:sz w:val="28"/>
          <w:szCs w:val="28"/>
        </w:rPr>
        <w:t>соглашения о достижении целевого показателя «Численность граждан, трудовая деятельность которых легализована на территории муниципального образования Кировской области (далее – соглашение).</w:t>
      </w:r>
    </w:p>
    <w:p w:rsidR="00742E81" w:rsidRDefault="00AE50A5">
      <w:pPr>
        <w:widowControl w:val="0"/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Общий объем иных межбюджетных трансфертов устанавливается законом Кировской области об областном бюджете на очередной финансовый год и на плановый период.</w:t>
      </w:r>
    </w:p>
    <w:p w:rsidR="00742E81" w:rsidRDefault="00AE50A5">
      <w:pPr>
        <w:pStyle w:val="ConsPlusNormal"/>
        <w:spacing w:line="400" w:lineRule="exact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color w:val="00000A"/>
          <w:sz w:val="28"/>
          <w:szCs w:val="28"/>
        </w:rPr>
        <w:t>Распределение иных межбюджетных трансфертов утверждается Правительством Кировской области.</w:t>
      </w:r>
    </w:p>
    <w:p w:rsidR="00742E81" w:rsidRDefault="00AE50A5">
      <w:pPr>
        <w:widowControl w:val="0"/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Размер иного межбюджетного трансферта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>-му муниципальному образованию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МБТ</w:t>
      </w:r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>) рассчитывается по следующей формуле:</w:t>
      </w:r>
    </w:p>
    <w:p w:rsidR="00742E81" w:rsidRDefault="00742E8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2E81" w:rsidRDefault="00AE50A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МБТ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36"/>
          <w:szCs w:val="28"/>
        </w:rPr>
        <w:t>∑</w:t>
      </w:r>
      <w:proofErr w:type="spellStart"/>
      <w:r>
        <w:rPr>
          <w:rFonts w:ascii="Times New Roman" w:hAnsi="Times New Roman" w:cs="Times New Roman"/>
          <w:sz w:val="40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i/>
          <w:sz w:val="36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 0,7,</w:t>
      </w:r>
    </w:p>
    <w:p w:rsidR="00742E81" w:rsidRDefault="00742E8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2E81" w:rsidRDefault="00AE50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:rsidR="00742E81" w:rsidRDefault="00AE50A5">
      <w:pPr>
        <w:pStyle w:val="ConsPlusNormal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∑</w:t>
      </w:r>
      <w:proofErr w:type="spellStart"/>
      <w:r>
        <w:rPr>
          <w:rFonts w:ascii="Times New Roman" w:hAnsi="Times New Roman" w:cs="Times New Roman"/>
          <w:sz w:val="40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объем дополнительных поступлений по налогу на доходы физических лиц с доходов, источниками которых является налоговый агент, в консолидированный бюджет Кировской области по i-</w:t>
      </w:r>
      <w:proofErr w:type="spellStart"/>
      <w:r>
        <w:rPr>
          <w:rFonts w:ascii="Times New Roman" w:hAnsi="Times New Roman" w:cs="Times New Roman"/>
          <w:sz w:val="28"/>
          <w:szCs w:val="28"/>
        </w:rPr>
        <w:t>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муниципальному образованию в отчетном финансовом году </w:t>
      </w:r>
      <w:r w:rsidR="00374BC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работодател</w:t>
      </w:r>
      <w:r w:rsidR="00374BCB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– организаци</w:t>
      </w:r>
      <w:r w:rsidR="00374BCB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(индивидуальны</w:t>
      </w:r>
      <w:r w:rsidR="00374BCB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374BCB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), заслушанны</w:t>
      </w:r>
      <w:r w:rsidR="00374BCB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в отчетном финансовом году на заседания</w:t>
      </w:r>
      <w:r w:rsidR="00374BCB">
        <w:rPr>
          <w:rFonts w:ascii="Times New Roman" w:hAnsi="Times New Roman" w:cs="Times New Roman"/>
          <w:sz w:val="28"/>
          <w:szCs w:val="28"/>
        </w:rPr>
        <w:t>х</w:t>
      </w:r>
      <w:r w:rsidR="00742E85">
        <w:rPr>
          <w:rFonts w:ascii="Times New Roman" w:hAnsi="Times New Roman" w:cs="Times New Roman"/>
          <w:sz w:val="28"/>
          <w:szCs w:val="28"/>
        </w:rPr>
        <w:t xml:space="preserve"> рабочих групп.</w:t>
      </w:r>
    </w:p>
    <w:p w:rsidR="00742E81" w:rsidRDefault="00AE50A5">
      <w:pPr>
        <w:widowControl w:val="0"/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 соответствии с настоящими методикой и правилами выполнение критериев предоставления иных межбюджетных трансфертов, указанных в пункте 2 настоящих методики и правил, оценивается по итогам отчетного финансового года на основании направленных в адрес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управления</w:t>
      </w:r>
      <w:r>
        <w:rPr>
          <w:rFonts w:ascii="Times New Roman" w:hAnsi="Times New Roman" w:cs="Times New Roman"/>
          <w:sz w:val="28"/>
          <w:szCs w:val="28"/>
        </w:rPr>
        <w:t xml:space="preserve"> в срок до</w:t>
      </w:r>
      <w:r>
        <w:rPr>
          <w:rFonts w:ascii="Times New Roman" w:hAnsi="Times New Roman" w:cs="Times New Roman"/>
          <w:sz w:val="28"/>
          <w:szCs w:val="28"/>
        </w:rPr>
        <w:br/>
        <w:t>1 июня года, следующего за отчетным финансовым годом, следующих сведений:</w:t>
      </w:r>
    </w:p>
    <w:p w:rsidR="00742E81" w:rsidRDefault="00AE50A5">
      <w:pPr>
        <w:widowControl w:val="0"/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достижении целевого показателя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основанных на данных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Отделения Фонда пенсионного и социального страхования Российской Федерации по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и выполнении первоначально прогнозируемого объема поступлений по налогу на доходы физических лиц с доходов, источниками которых является налоговый агент, в бюджет муниципального образования в отчетном финансовом году, предоставляемых муниципальными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образованиями;</w:t>
      </w:r>
    </w:p>
    <w:p w:rsidR="00742E81" w:rsidRDefault="00AE50A5">
      <w:pPr>
        <w:pStyle w:val="ConsPlusNormal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объеме поступлений по налогу на доходы физических лиц с доходов, источниками которых является налоговый агент, в консолидированный бюджет Кировской области по муниципальным образованиям в отчетном финансовом году и в году, предшествующем отчетному финансовому году, предоставляемых министерством финансов Кировской области;</w:t>
      </w:r>
    </w:p>
    <w:p w:rsidR="00742E81" w:rsidRDefault="00AE50A5">
      <w:pPr>
        <w:pStyle w:val="ConsPlusNormal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объеме дополнительных поступлений по налогу на доходы физических лиц с доходов, источниками которых является налоговый агент, в консолидированный бюджет Кировской области по муниципальным образованиям в отчетном финансовом году и в году, предшествующем отчетному финансовому году, у работодателей – организаций (индивидуальных предпринимателей), заслушанных в отчетном финансовом году на заседаниях рабочих групп, запрашиваемых управлением у Управления Федеральной налоговой службы по Кировской области.</w:t>
      </w:r>
    </w:p>
    <w:p w:rsidR="00742E81" w:rsidRDefault="00AE50A5">
      <w:pPr>
        <w:pStyle w:val="ConsPlusNormal"/>
        <w:spacing w:line="400" w:lineRule="exact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9. Управление до</w:t>
      </w:r>
      <w:r>
        <w:rPr>
          <w:rFonts w:ascii="Times New Roman" w:hAnsi="Times New Roman" w:cs="Times New Roman"/>
          <w:sz w:val="28"/>
          <w:szCs w:val="28"/>
        </w:rPr>
        <w:t xml:space="preserve"> 1 июля года, следующего за отчетным годом, осуществляет оценку выполнения критериев предоставления иных межбюджетных трансфертов, указанных в пункте 2 настоящих методики и правил, и определяет размер иных межбюджетных трансфертов для каждого муниципального образования.</w:t>
      </w:r>
    </w:p>
    <w:p w:rsidR="00742E81" w:rsidRDefault="00AE50A5">
      <w:pPr>
        <w:widowControl w:val="0"/>
        <w:spacing w:after="0" w:line="40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1F1F1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Перечисление иных межбюджетных трансфертов осуществляется управлением в установленном порядке не позднее 10 дней со дня вступления в силу постановления Правительства Кировской области о распределении иных межбюджетных трансфертов.</w:t>
      </w:r>
    </w:p>
    <w:p w:rsidR="00742E81" w:rsidRDefault="00AE50A5">
      <w:pPr>
        <w:pStyle w:val="ConsPlusNormal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11. </w:t>
      </w:r>
      <w:r>
        <w:rPr>
          <w:rFonts w:ascii="Times New Roman" w:hAnsi="Times New Roman" w:cs="Times New Roman"/>
          <w:sz w:val="28"/>
          <w:szCs w:val="28"/>
        </w:rPr>
        <w:t xml:space="preserve">Основанием для отказа в предоставлении иных межбюджетных трансфертов является невыполнение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органами местного самоуправления муниципальных образований</w:t>
      </w:r>
      <w:r>
        <w:rPr>
          <w:rFonts w:ascii="Times New Roman" w:hAnsi="Times New Roman" w:cs="Times New Roman"/>
          <w:sz w:val="28"/>
          <w:szCs w:val="28"/>
        </w:rPr>
        <w:t xml:space="preserve"> критериев предоставления иных межбюджетных трансфертов, указанных в пункте 2 настоящих методики и правил, и отсутствие заключенного соглашения. </w:t>
      </w:r>
    </w:p>
    <w:p w:rsidR="00742E81" w:rsidRDefault="00AE50A5">
      <w:pPr>
        <w:pStyle w:val="ConsPlusNormal"/>
        <w:spacing w:after="720" w:line="400" w:lineRule="exact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>12. Органы местного самоуправления муниципальных образований осуществляют расходование поступивших средств в местные бюджеты в соответствии с утверждаемыми представительными органами муниципальных образований решениями о местном бюджете.</w:t>
      </w:r>
    </w:p>
    <w:p w:rsidR="00742E81" w:rsidRDefault="00AE50A5" w:rsidP="00777562">
      <w:pPr>
        <w:pStyle w:val="ConsPlusNormal"/>
        <w:spacing w:after="720" w:line="360" w:lineRule="auto"/>
        <w:jc w:val="center"/>
        <w:rPr>
          <w:rFonts w:ascii="Times New Roman" w:hAnsi="Times New Roman" w:cs="Times New Roman"/>
          <w:color w:val="00000A"/>
          <w:sz w:val="28"/>
          <w:szCs w:val="28"/>
        </w:rPr>
      </w:pPr>
      <w:r>
        <w:t>________________</w:t>
      </w:r>
      <w:bookmarkStart w:id="1" w:name="_GoBack"/>
      <w:bookmarkEnd w:id="1"/>
    </w:p>
    <w:sectPr w:rsidR="00742E81">
      <w:headerReference w:type="even" r:id="rId7"/>
      <w:headerReference w:type="default" r:id="rId8"/>
      <w:headerReference w:type="first" r:id="rId9"/>
      <w:pgSz w:w="11906" w:h="16838"/>
      <w:pgMar w:top="1134" w:right="680" w:bottom="1418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507B" w:rsidRDefault="00A4507B">
      <w:pPr>
        <w:spacing w:after="0" w:line="240" w:lineRule="auto"/>
      </w:pPr>
      <w:r>
        <w:separator/>
      </w:r>
    </w:p>
  </w:endnote>
  <w:endnote w:type="continuationSeparator" w:id="0">
    <w:p w:rsidR="00A4507B" w:rsidRDefault="00A45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507B" w:rsidRDefault="00A4507B">
      <w:pPr>
        <w:spacing w:after="0" w:line="240" w:lineRule="auto"/>
      </w:pPr>
      <w:r>
        <w:separator/>
      </w:r>
    </w:p>
  </w:footnote>
  <w:footnote w:type="continuationSeparator" w:id="0">
    <w:p w:rsidR="00A4507B" w:rsidRDefault="00A45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E81" w:rsidRDefault="00742E81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59729063"/>
      <w:docPartObj>
        <w:docPartGallery w:val="Page Numbers (Top of Page)"/>
        <w:docPartUnique/>
      </w:docPartObj>
    </w:sdtPr>
    <w:sdtEndPr/>
    <w:sdtContent>
      <w:p w:rsidR="00742E81" w:rsidRDefault="00AE50A5">
        <w:pPr>
          <w:pStyle w:val="af6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4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742E81" w:rsidRDefault="00742E81">
    <w:pPr>
      <w:pStyle w:val="af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E81" w:rsidRDefault="00742E81">
    <w:pPr>
      <w:pStyle w:val="af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2E81"/>
    <w:rsid w:val="00374BCB"/>
    <w:rsid w:val="00742E81"/>
    <w:rsid w:val="00742E85"/>
    <w:rsid w:val="00777562"/>
    <w:rsid w:val="00A4507B"/>
    <w:rsid w:val="00AE50A5"/>
    <w:rsid w:val="00AF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28E96"/>
  <w15:docId w15:val="{7F36E4F0-A78B-42DE-A1A6-102C9957A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a3">
    <w:name w:val="Заголовок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9">
    <w:name w:val="Название объекта Знак"/>
    <w:basedOn w:val="a0"/>
    <w:link w:val="aa"/>
    <w:uiPriority w:val="35"/>
    <w:qFormat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b">
    <w:name w:val="Текст концевой сноски Знак"/>
    <w:link w:val="ac"/>
    <w:uiPriority w:val="99"/>
    <w:qFormat/>
    <w:rPr>
      <w:sz w:val="20"/>
    </w:rPr>
  </w:style>
  <w:style w:type="character" w:customStyle="1" w:styleId="ad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e">
    <w:name w:val="endnote reference"/>
    <w:rPr>
      <w:vertAlign w:val="superscript"/>
    </w:rPr>
  </w:style>
  <w:style w:type="character" w:styleId="af">
    <w:name w:val="Hyperlink"/>
    <w:basedOn w:val="a0"/>
    <w:uiPriority w:val="99"/>
    <w:semiHidden/>
    <w:unhideWhenUsed/>
    <w:rPr>
      <w:color w:val="0000FF"/>
      <w:u w:val="single"/>
    </w:rPr>
  </w:style>
  <w:style w:type="character" w:styleId="af0">
    <w:name w:val="Strong"/>
    <w:basedOn w:val="a0"/>
    <w:uiPriority w:val="22"/>
    <w:qFormat/>
    <w:rPr>
      <w:b/>
      <w:bCs/>
    </w:rPr>
  </w:style>
  <w:style w:type="character" w:customStyle="1" w:styleId="af1">
    <w:name w:val="Текст сноски Знак"/>
    <w:basedOn w:val="a0"/>
    <w:link w:val="af2"/>
    <w:uiPriority w:val="99"/>
    <w:semiHidden/>
    <w:qFormat/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  <w:style w:type="character" w:customStyle="1" w:styleId="af3">
    <w:name w:val="Символ сноски"/>
    <w:basedOn w:val="a0"/>
    <w:uiPriority w:val="99"/>
    <w:semiHidden/>
    <w:unhideWhenUsed/>
    <w:qFormat/>
    <w:rPr>
      <w:vertAlign w:val="superscript"/>
    </w:rPr>
  </w:style>
  <w:style w:type="character" w:styleId="af4">
    <w:name w:val="footnote reference"/>
    <w:rPr>
      <w:vertAlign w:val="superscript"/>
    </w:rPr>
  </w:style>
  <w:style w:type="character" w:customStyle="1" w:styleId="af5">
    <w:name w:val="Верхний колонтитул Знак"/>
    <w:basedOn w:val="a0"/>
    <w:link w:val="af6"/>
    <w:uiPriority w:val="99"/>
    <w:qFormat/>
  </w:style>
  <w:style w:type="character" w:customStyle="1" w:styleId="af7">
    <w:name w:val="Нижний колонтитул Знак"/>
    <w:basedOn w:val="a0"/>
    <w:link w:val="af8"/>
    <w:uiPriority w:val="99"/>
    <w:semiHidden/>
    <w:qFormat/>
  </w:style>
  <w:style w:type="character" w:customStyle="1" w:styleId="af9">
    <w:name w:val="Основной текст Знак"/>
    <w:basedOn w:val="a0"/>
    <w:link w:val="afa"/>
    <w:uiPriority w:val="1"/>
    <w:qFormat/>
    <w:rPr>
      <w:rFonts w:ascii="Times New Roman" w:eastAsia="Times New Roman" w:hAnsi="Times New Roman" w:cs="Times New Roman"/>
      <w:sz w:val="27"/>
      <w:szCs w:val="27"/>
    </w:rPr>
  </w:style>
  <w:style w:type="character" w:customStyle="1" w:styleId="afb">
    <w:name w:val="Текст выноски Знак"/>
    <w:basedOn w:val="a0"/>
    <w:link w:val="afc"/>
    <w:uiPriority w:val="99"/>
    <w:semiHidden/>
    <w:qFormat/>
    <w:rPr>
      <w:rFonts w:ascii="Tahoma" w:hAnsi="Tahoma" w:cs="Tahoma"/>
      <w:sz w:val="16"/>
      <w:szCs w:val="16"/>
    </w:rPr>
  </w:style>
  <w:style w:type="character" w:styleId="afd">
    <w:name w:val="Emphasis"/>
    <w:basedOn w:val="a0"/>
    <w:uiPriority w:val="20"/>
    <w:qFormat/>
    <w:rPr>
      <w:i/>
      <w:iCs/>
    </w:rPr>
  </w:style>
  <w:style w:type="paragraph" w:customStyle="1" w:styleId="11">
    <w:name w:val="Заголовок1"/>
    <w:basedOn w:val="a"/>
    <w:next w:val="afa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fa">
    <w:name w:val="Body Text"/>
    <w:basedOn w:val="a"/>
    <w:link w:val="af9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styleId="afe">
    <w:name w:val="List"/>
    <w:basedOn w:val="afa"/>
    <w:rPr>
      <w:rFonts w:cs="Noto Sans"/>
    </w:rPr>
  </w:style>
  <w:style w:type="paragraph" w:styleId="aa">
    <w:name w:val="caption"/>
    <w:basedOn w:val="a"/>
    <w:next w:val="a"/>
    <w:link w:val="a9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styleId="aff">
    <w:name w:val="index heading"/>
    <w:basedOn w:val="11"/>
  </w:style>
  <w:style w:type="paragraph" w:styleId="aff0">
    <w:name w:val="No Spacing"/>
    <w:uiPriority w:val="1"/>
    <w:qFormat/>
  </w:style>
  <w:style w:type="paragraph" w:styleId="a4">
    <w:name w:val="Title"/>
    <w:basedOn w:val="a"/>
    <w:next w:val="a"/>
    <w:link w:val="a3"/>
    <w:uiPriority w:val="10"/>
    <w:qFormat/>
    <w:pPr>
      <w:spacing w:before="3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c">
    <w:name w:val="endnote text"/>
    <w:basedOn w:val="a"/>
    <w:link w:val="ab"/>
    <w:uiPriority w:val="99"/>
    <w:semiHidden/>
    <w:unhideWhenUsed/>
    <w:pPr>
      <w:spacing w:after="0" w:line="240" w:lineRule="auto"/>
    </w:pPr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1">
    <w:name w:val="TOC Heading"/>
    <w:uiPriority w:val="39"/>
    <w:unhideWhenUsed/>
    <w:qFormat/>
    <w:pPr>
      <w:spacing w:after="200" w:line="276" w:lineRule="auto"/>
    </w:pPr>
  </w:style>
  <w:style w:type="paragraph" w:styleId="aff2">
    <w:name w:val="table of figures"/>
    <w:basedOn w:val="a"/>
    <w:next w:val="a"/>
    <w:uiPriority w:val="99"/>
    <w:unhideWhenUsed/>
    <w:pPr>
      <w:spacing w:after="0"/>
    </w:pPr>
  </w:style>
  <w:style w:type="paragraph" w:styleId="aff3">
    <w:name w:val="Normal (Web)"/>
    <w:basedOn w:val="a"/>
    <w:uiPriority w:val="99"/>
    <w:semiHidden/>
    <w:unhideWhenUsed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</w:rPr>
  </w:style>
  <w:style w:type="paragraph" w:customStyle="1" w:styleId="ConsPlusTitle">
    <w:name w:val="ConsPlusTitle"/>
    <w:qFormat/>
    <w:pPr>
      <w:widowControl w:val="0"/>
    </w:pPr>
    <w:rPr>
      <w:rFonts w:eastAsia="Times New Roman" w:cs="Calibri"/>
      <w:b/>
      <w:szCs w:val="20"/>
    </w:rPr>
  </w:style>
  <w:style w:type="paragraph" w:styleId="af2">
    <w:name w:val="footnote text"/>
    <w:basedOn w:val="a"/>
    <w:link w:val="af1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</w:rPr>
  </w:style>
  <w:style w:type="paragraph" w:styleId="aff4">
    <w:name w:val="List Paragraph"/>
    <w:basedOn w:val="a"/>
    <w:uiPriority w:val="34"/>
    <w:qFormat/>
    <w:pPr>
      <w:widowControl w:val="0"/>
      <w:spacing w:after="0" w:line="240" w:lineRule="auto"/>
      <w:ind w:left="1575" w:firstLine="698"/>
      <w:jc w:val="both"/>
    </w:pPr>
    <w:rPr>
      <w:rFonts w:ascii="Times New Roman" w:eastAsia="Times New Roman" w:hAnsi="Times New Roman" w:cs="Times New Roman"/>
    </w:rPr>
  </w:style>
  <w:style w:type="paragraph" w:customStyle="1" w:styleId="HeaderandFooter">
    <w:name w:val="Header and Footer"/>
    <w:basedOn w:val="a"/>
    <w:qFormat/>
  </w:style>
  <w:style w:type="paragraph" w:styleId="af6">
    <w:name w:val="head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8">
    <w:name w:val="footer"/>
    <w:basedOn w:val="a"/>
    <w:link w:val="af7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ds-markdown-paragraph">
    <w:name w:val="ds-markdown-paragraph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Balloon Text"/>
    <w:basedOn w:val="a"/>
    <w:link w:val="afb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numbering" w:customStyle="1" w:styleId="aff5">
    <w:name w:val="Без списка"/>
    <w:uiPriority w:val="99"/>
    <w:semiHidden/>
    <w:unhideWhenUsed/>
    <w:qFormat/>
  </w:style>
  <w:style w:type="table" w:styleId="aff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EBFB9-D8CA-4C8E-8B4F-4279613BF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1168</Words>
  <Characters>6663</Characters>
  <Application>Microsoft Office Word</Application>
  <DocSecurity>0</DocSecurity>
  <Lines>55</Lines>
  <Paragraphs>15</Paragraphs>
  <ScaleCrop>false</ScaleCrop>
  <Company>Microsoft</Company>
  <LinksUpToDate>false</LinksUpToDate>
  <CharactersWithSpaces>7816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dc:description/>
  <cp:lastModifiedBy>Анна И. Слободина</cp:lastModifiedBy>
  <cp:revision>10</cp:revision>
  <cp:lastPrinted>2026-06-23T10:53:00Z</cp:lastPrinted>
  <dcterms:created xsi:type="dcterms:W3CDTF">2026-06-22T12:20:00Z</dcterms:created>
  <dcterms:modified xsi:type="dcterms:W3CDTF">2026-06-29T13:55:00Z</dcterms:modified>
  <dc:language>ru-RU</dc:language>
</cp:coreProperties>
</file>